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45"/>
        <w:gridCol w:w="5638"/>
      </w:tblGrid>
      <w:tr w:rsidR="00121A60" w:rsidRPr="002B54F8" w:rsidTr="00655864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1A60" w:rsidRPr="002B54F8" w:rsidRDefault="00121A60" w:rsidP="001F6806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4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گزارش جلسه کارگروه تخصصی کارشناسی دبیرخانه شورای گفت و گوی استان </w:t>
            </w:r>
            <w:r w:rsidR="001F6806">
              <w:rPr>
                <w:rFonts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</w:tr>
      <w:tr w:rsidR="00121A60" w:rsidRPr="002B54F8" w:rsidTr="00655864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60" w:rsidRPr="00934F4E" w:rsidRDefault="00121A60" w:rsidP="00934F4E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E2C8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جلسه:</w:t>
            </w:r>
            <w:r w:rsidR="001F6806" w:rsidRPr="003E2C8B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5A3A6E" w:rsidRPr="005A3A6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تأمین سوخت معادن، ناوگان حمل و نقل و انجمن صنعت پخش</w:t>
            </w:r>
          </w:p>
        </w:tc>
      </w:tr>
      <w:tr w:rsidR="00121A60" w:rsidRPr="002B54F8" w:rsidTr="00655864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60" w:rsidRPr="00B67DDD" w:rsidRDefault="00B2698C" w:rsidP="005A3A6E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روز:</w:t>
            </w:r>
            <w:r w:rsidR="005A3A6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دوشنبه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60" w:rsidRPr="00B2698C" w:rsidRDefault="00121A60" w:rsidP="005A3A6E">
            <w:pPr>
              <w:spacing w:after="0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B67DD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تاریخ:</w:t>
            </w:r>
            <w:r w:rsidR="00D630F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5A3A6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06</w:t>
            </w:r>
            <w:r w:rsidR="00D630F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5A3A6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05</w:t>
            </w:r>
            <w:r w:rsidR="00D630F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/</w:t>
            </w:r>
            <w:r w:rsidR="003A366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1404</w:t>
            </w:r>
          </w:p>
        </w:tc>
      </w:tr>
      <w:tr w:rsidR="00121A60" w:rsidRPr="002B54F8" w:rsidTr="002676C7">
        <w:trPr>
          <w:trHeight w:val="1196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60" w:rsidRPr="00383C59" w:rsidRDefault="00121A60" w:rsidP="00383C59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383C5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حاضرین در جلسه:</w:t>
            </w:r>
          </w:p>
          <w:p w:rsidR="005A3A6E" w:rsidRDefault="00CB5CB4" w:rsidP="00682961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 w:rsidRPr="00383C5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جناب آقای </w:t>
            </w:r>
            <w:r w:rsidR="003A3663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682961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رنجبر رئیس تأمین سوخت</w:t>
            </w:r>
            <w:r w:rsidR="00682961">
              <w:rPr>
                <w:rFonts w:ascii="IRANSansWeb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</w:t>
            </w:r>
            <w:r w:rsidR="00682961">
              <w:rPr>
                <w:rFonts w:ascii="IRANSansWeb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شرکت پخش فرآورده های نفتی</w:t>
            </w:r>
          </w:p>
          <w:p w:rsidR="00682961" w:rsidRDefault="00682961" w:rsidP="00682961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 مهندس خدرویسی نماینده سازمان صمت</w:t>
            </w:r>
          </w:p>
          <w:p w:rsidR="00682961" w:rsidRDefault="00682961" w:rsidP="00682961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 مهندس ترابی نایب رئیس اتاق بازرگانی، صنایع، معادن و کشاورزی استان</w:t>
            </w:r>
          </w:p>
          <w:p w:rsidR="00682961" w:rsidRDefault="00682961" w:rsidP="005A3A6E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 مهندس کارگر نایب رئیس خانه معدن استان</w:t>
            </w:r>
          </w:p>
          <w:p w:rsidR="00682961" w:rsidRDefault="00682961" w:rsidP="005A3A6E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 محبی نایب رئیس انجمن شرکت های حمل و نقل استان</w:t>
            </w:r>
          </w:p>
          <w:p w:rsidR="00682961" w:rsidRDefault="00682961" w:rsidP="005A3A6E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مهندس قربانی نماینده شرکت سیمان مدلل</w:t>
            </w:r>
          </w:p>
          <w:p w:rsidR="00682961" w:rsidRDefault="00682961" w:rsidP="005A3A6E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رشیدی نمانیده مجموعه معدنی دانش نیا</w:t>
            </w:r>
          </w:p>
          <w:p w:rsidR="00682961" w:rsidRDefault="00682961" w:rsidP="005A3A6E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مهندس جعفرپور مدیریت معدن پاسارگاد </w:t>
            </w:r>
          </w:p>
          <w:p w:rsidR="00682961" w:rsidRDefault="00682961" w:rsidP="005A3A6E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مهندس کاکاوندی نماینده شرکت انرژی معدن نصر پاسارگاد</w:t>
            </w:r>
          </w:p>
          <w:p w:rsidR="00682961" w:rsidRDefault="00682961" w:rsidP="005A3A6E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مهندس هاتفی مدیریت شرکت هاتف گستر سنگ آهن</w:t>
            </w:r>
          </w:p>
          <w:p w:rsidR="00682961" w:rsidRDefault="00682961" w:rsidP="005A3A6E">
            <w:pPr>
              <w:spacing w:after="0" w:line="240" w:lineRule="auto"/>
              <w:jc w:val="both"/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جناب آقای مهندس حاصلی دبیر خانه معدن استان</w:t>
            </w:r>
          </w:p>
          <w:p w:rsidR="002D2510" w:rsidRPr="00383C59" w:rsidRDefault="00682961" w:rsidP="00682961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جناب آقای دکتر رضایی مشاور دبیرخانه شورای گفت وگوی دولت و بخش خصوصی </w:t>
            </w:r>
          </w:p>
        </w:tc>
      </w:tr>
      <w:tr w:rsidR="00121A60" w:rsidRPr="002B54F8" w:rsidTr="002D2510">
        <w:trPr>
          <w:trHeight w:val="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B4" w:rsidRPr="00383C59" w:rsidRDefault="00121A60" w:rsidP="00383C5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C59">
              <w:rPr>
                <w:rFonts w:cs="B Nazanin" w:hint="cs"/>
                <w:b/>
                <w:bCs/>
                <w:sz w:val="24"/>
                <w:szCs w:val="24"/>
                <w:rtl/>
              </w:rPr>
              <w:t>دستورجلسه:</w:t>
            </w:r>
            <w:r w:rsidR="001F6806" w:rsidRPr="00383C5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2C8B" w:rsidRPr="00383C59" w:rsidRDefault="005A3A6E" w:rsidP="003A366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3A6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بررسی مسائل و مشکلات تأمین سوخت معادن، ناوگان حمل و نقل و انجمن صنعت پخش</w:t>
            </w:r>
          </w:p>
        </w:tc>
      </w:tr>
      <w:tr w:rsidR="00121A60" w:rsidRPr="002B54F8" w:rsidTr="00655864">
        <w:trPr>
          <w:trHeight w:val="13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60" w:rsidRPr="00383C59" w:rsidRDefault="00121A60" w:rsidP="00383C59">
            <w:pPr>
              <w:jc w:val="both"/>
              <w:rPr>
                <w:rFonts w:ascii="IRANSansWeb" w:hAnsi="IRANSansWeb" w:cs="B Nazanin"/>
                <w:b/>
                <w:bCs/>
                <w:color w:val="424753"/>
                <w:sz w:val="24"/>
                <w:szCs w:val="24"/>
                <w:rtl/>
              </w:rPr>
            </w:pPr>
            <w:r w:rsidRPr="00383C59">
              <w:rPr>
                <w:rFonts w:ascii="IRANSansWeb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خلاصه مذاکرات:</w:t>
            </w:r>
          </w:p>
          <w:p w:rsidR="00CB5CB4" w:rsidRPr="00383C59" w:rsidRDefault="00CB5CB4" w:rsidP="00383C59">
            <w:pPr>
              <w:pStyle w:val="NoSpacing"/>
              <w:jc w:val="both"/>
              <w:rPr>
                <w:rFonts w:ascii="IRANSansWeb" w:eastAsiaTheme="minorHAnsi" w:hAnsi="IRANSansWeb" w:cs="B Nazanin"/>
                <w:b/>
                <w:bCs/>
                <w:color w:val="424753"/>
                <w:sz w:val="24"/>
                <w:szCs w:val="24"/>
                <w:rtl/>
              </w:rPr>
            </w:pPr>
            <w:r w:rsidRPr="00383C59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جلسه با تلاوت آیاتی از قرآن مجید آغاز شد.</w:t>
            </w:r>
          </w:p>
          <w:p w:rsidR="0085432D" w:rsidRDefault="00CB5CB4" w:rsidP="0085432D">
            <w:pPr>
              <w:pStyle w:val="NoSpacing"/>
              <w:jc w:val="both"/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</w:pPr>
            <w:r w:rsidRPr="00383C59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در ابتدای این جلسه</w:t>
            </w:r>
            <w:r w:rsidRPr="00383C59">
              <w:rPr>
                <w:rFonts w:ascii="IRANSansWeb" w:eastAsiaTheme="minorHAnsi" w:hAnsi="IRANSansWeb" w:cs="B Nazanin" w:hint="eastAsia"/>
                <w:b/>
                <w:bCs/>
                <w:color w:val="424753"/>
                <w:sz w:val="24"/>
                <w:szCs w:val="24"/>
                <w:rtl/>
              </w:rPr>
              <w:t xml:space="preserve"> </w:t>
            </w:r>
            <w:r w:rsidR="005A4627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</w:t>
            </w:r>
            <w:r w:rsidR="0085432D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جناب آقای مهندس ترابی با اشاره به ظرفیت شورای گفت وگوی دولت و بخش خصوصی در حل مسائل و مشکلات شرکت ها و واحدهای تولیدی و همچنین بهبود فضای کسب و کار استان بیان کردند: این شورا می تواند در سریع ترین زمان ممکن مسائل و مشکلات واحدها را در استان حل و یا پیشنهادهایی را برای بهبود فضای کسب و کار در سطح کشور به شورای گفت وگوی ملی ارائه نمایند. در ادامه ایشان بیان نمودند</w:t>
            </w:r>
            <w:r w:rsidR="00AF1B5C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:</w:t>
            </w:r>
            <w:r w:rsidR="0085432D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مکاتباتی از سوی واحدهای معدنی استان و همچنین خانه معدن استان و دبیرخانه شورای گفت وگو در خصوص مسائل و مشکلات تأمین سوخت این واحدها انجام شده است. </w:t>
            </w:r>
          </w:p>
          <w:p w:rsidR="00682961" w:rsidRDefault="00682961" w:rsidP="0085432D">
            <w:pPr>
              <w:pStyle w:val="NoSpacing"/>
              <w:jc w:val="both"/>
              <w:rPr>
                <w:rFonts w:ascii="IRANSansWeb" w:eastAsiaTheme="minorHAnsi" w:hAnsi="IRANSansWeb" w:cs="B Nazanin"/>
                <w:b/>
                <w:bCs/>
                <w:color w:val="424753"/>
                <w:sz w:val="24"/>
                <w:szCs w:val="24"/>
                <w:rtl/>
              </w:rPr>
            </w:pPr>
          </w:p>
          <w:p w:rsidR="0085432D" w:rsidRDefault="0085432D" w:rsidP="0085432D">
            <w:pPr>
              <w:pStyle w:val="NoSpacing"/>
              <w:jc w:val="both"/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</w:pP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در ادامه جلسه آقای کارگر نایب رییس خانه معدن بیان کردند: با تشکیل یک کمیته در تهران مقرر شد که در سه ماهه اول سال 1404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،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60% سهمیه سوخت 1403 به واحدهای معدنی تخصیص داده شود. اما در تیر ماه سهمیه سوخت واحدهای معدنی نصف شده که نیازمند بازنگری جدی و توجه مسئولین استانی به این موضوع می باشد.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ایشان بیان کردند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: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موضوع دیگر در حوزه تأمین سوخت، سهمیه سوخت اکتشاف می باشد که مقطعی است و بعد از مدت زمان کمی به پایان می رسد اما بهره برداری مستمر و اد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ا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مه 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lastRenderedPageBreak/>
              <w:t>دار می باشد. بنابراین لازم است سهمیه اکتشاف به صورت یکجا پرداخت شود.</w:t>
            </w:r>
          </w:p>
          <w:p w:rsidR="00682961" w:rsidRDefault="00682961" w:rsidP="0085432D">
            <w:pPr>
              <w:pStyle w:val="NoSpacing"/>
              <w:jc w:val="both"/>
              <w:rPr>
                <w:rFonts w:ascii="IRANSansWeb" w:eastAsiaTheme="minorHAnsi" w:hAnsi="IRANSansWeb" w:cs="B Nazanin"/>
                <w:b/>
                <w:bCs/>
                <w:color w:val="424753"/>
                <w:sz w:val="24"/>
                <w:szCs w:val="24"/>
                <w:rtl/>
              </w:rPr>
            </w:pPr>
          </w:p>
          <w:p w:rsidR="00894E1B" w:rsidRDefault="0085432D" w:rsidP="00894E1B">
            <w:pPr>
              <w:pStyle w:val="NoSpacing"/>
              <w:jc w:val="both"/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</w:pP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در </w:t>
            </w:r>
            <w:r w:rsidR="00894E1B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ادامه نمایندگان بخش خصوصی( نمایندگان جهاد نصر، شرکت انرژی معدن نصر، شرکت پیمانکاران معدن) بیان کردند: عدم اختصاص سوخت مورد نیاز برای معادن منجر به تعطیلی کارگاه ها و تحمیل هزینه های گزاف به کارگاه ها و شرکت ها می شود. ایشان با اشاره به اینکه در سایر استان ها کمک و حمایت های بیشتری از معادن انجام می شود بیان کردند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:</w:t>
            </w:r>
            <w:r w:rsidR="00894E1B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در استان کرمانشاه علیرغم محروم و مرزی بودن حمایت های چندانی از معاد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ن انجام نمی شود. یکی از موضوعات</w:t>
            </w:r>
            <w:r w:rsidR="00894E1B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ی که بخش خصوصی به آن اشاره کرد این موضوع بود که بسیاری از معادن از ژنراتور استفاده می کنند و شرکت توزیع برق سهمیه سوخت ژنراتورهای معادن را جهت تخصیص سهمیه سوخت در سامانه صدف تأیید نمی کند. در ادامه بیان کردند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:</w:t>
            </w:r>
            <w:r w:rsidR="00894E1B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سهمیه مشخص شده برای معادن باید ظرف مدت یک ماه مصرف شود و چنانچه این اتفاق نیفتد سهمیه سوخت معادن از بین می رود. </w:t>
            </w:r>
          </w:p>
          <w:p w:rsidR="00682961" w:rsidRPr="00934F4E" w:rsidRDefault="00682961" w:rsidP="00894E1B">
            <w:pPr>
              <w:pStyle w:val="NoSpacing"/>
              <w:jc w:val="both"/>
              <w:rPr>
                <w:rFonts w:ascii="IRANSansWeb" w:eastAsiaTheme="minorHAnsi" w:hAnsi="IRANSansWeb" w:cs="B Nazanin"/>
                <w:b/>
                <w:bCs/>
                <w:color w:val="424753"/>
                <w:sz w:val="8"/>
                <w:szCs w:val="8"/>
                <w:rtl/>
              </w:rPr>
            </w:pPr>
          </w:p>
          <w:p w:rsidR="00894E1B" w:rsidRDefault="00894E1B" w:rsidP="0085432D">
            <w:pPr>
              <w:pStyle w:val="NoSpacing"/>
              <w:jc w:val="both"/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</w:pP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در ادامه دکتر رنجبر از شرکت پخش فرآورده های نفتی بیان کردند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: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در سنوات گذشته بحث سهمیه بندی سوخت معادن مطرح نبو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د اما امسال با توجه به ارائه سه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م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ی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ه سوخت به صورت فصلی مشکلاتی برای معادن ایجاد شده است. ایشان بیان کردند: سازمان صمت باید به طور کامل سهمیه معادن را در نظر بگیرد و تخصیص دهد و چنانچه تخصیص سوخت با مشکل مواجه شد مکاتبه و پیگیری لازم برای اخذ سهمیه سوخت جدید انجام شود که قطعا به نتیجه می رسد.</w:t>
            </w:r>
          </w:p>
          <w:p w:rsidR="00682961" w:rsidRPr="00934F4E" w:rsidRDefault="00682961" w:rsidP="0085432D">
            <w:pPr>
              <w:pStyle w:val="NoSpacing"/>
              <w:jc w:val="both"/>
              <w:rPr>
                <w:rFonts w:ascii="IRANSansWeb" w:eastAsiaTheme="minorHAnsi" w:hAnsi="IRANSansWeb" w:cs="B Nazanin"/>
                <w:b/>
                <w:bCs/>
                <w:color w:val="424753"/>
                <w:sz w:val="8"/>
                <w:szCs w:val="8"/>
                <w:rtl/>
              </w:rPr>
            </w:pPr>
          </w:p>
          <w:p w:rsidR="005A3A6E" w:rsidRDefault="00894E1B" w:rsidP="00934F4E">
            <w:pPr>
              <w:pStyle w:val="NoSpacing"/>
              <w:jc w:val="both"/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</w:pP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در ادامه مهندس خدرویسی نماینده سازمان صمت بیان کرد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ند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: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مشکل کمبود سوخت در شش ماهه دوم سال 1403 در معادن استان احساس شد و کماکان ادامه دارد و مکاتباتی با شرکت نفت انجام شده و در این راستا کمک هایی هم به استان شده و سهمیه مجدد اختصاص پیدا کرده است. ایشان بیان کردند</w:t>
            </w:r>
            <w:r w:rsidR="00682961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: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</w:t>
            </w:r>
            <w:r w:rsidR="00AF1B5C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سازمان صمت سهمیه سوخت واحدهای معدنی را بر اساس سهمیه اختصاص یافته از سوی شرکت پخش فرآورده های نفتی به واحدهای معدنی تخصیص می دهد.</w:t>
            </w:r>
          </w:p>
          <w:p w:rsidR="00934F4E" w:rsidRDefault="00934F4E" w:rsidP="00934F4E">
            <w:pPr>
              <w:pStyle w:val="NoSpacing"/>
              <w:jc w:val="both"/>
              <w:rPr>
                <w:rFonts w:ascii="IRANSansWeb" w:eastAsiaTheme="minorHAnsi" w:hAnsi="IRANSansWeb" w:cs="B Nazanin"/>
                <w:b/>
                <w:bCs/>
                <w:color w:val="424753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072288" w:rsidRPr="00383C59" w:rsidRDefault="00072288" w:rsidP="00072288">
            <w:pPr>
              <w:pStyle w:val="NoSpacing"/>
              <w:jc w:val="both"/>
              <w:rPr>
                <w:rFonts w:ascii="IRANSansWeb" w:eastAsiaTheme="minorHAnsi" w:hAnsi="IRANSansWeb" w:cs="B Nazanin"/>
                <w:b/>
                <w:bCs/>
                <w:color w:val="424753"/>
                <w:sz w:val="24"/>
                <w:szCs w:val="24"/>
                <w:rtl/>
              </w:rPr>
            </w:pP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د</w:t>
            </w:r>
            <w:r w:rsidR="00AF1B5C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ر پایان مقرر شد موارد ذیل برای 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طرح شدن در جلسه اصلی شورای گفت وگو مطرح شود.</w:t>
            </w:r>
          </w:p>
          <w:p w:rsidR="001F6806" w:rsidRPr="00383C59" w:rsidRDefault="001F6806" w:rsidP="00383C59">
            <w:pPr>
              <w:spacing w:after="0" w:line="240" w:lineRule="auto"/>
              <w:jc w:val="both"/>
              <w:rPr>
                <w:rFonts w:ascii="IRANSansWeb" w:hAnsi="IRANSansWeb" w:cs="B Nazanin"/>
                <w:b/>
                <w:bCs/>
                <w:color w:val="424753"/>
                <w:sz w:val="24"/>
                <w:szCs w:val="24"/>
                <w:rtl/>
              </w:rPr>
            </w:pPr>
          </w:p>
        </w:tc>
      </w:tr>
    </w:tbl>
    <w:p w:rsidR="00655864" w:rsidRDefault="00072288" w:rsidP="00AD2C5F">
      <w:pPr>
        <w:rPr>
          <w:rtl/>
        </w:rPr>
      </w:pPr>
      <w:r>
        <w:rPr>
          <w:rFonts w:hint="cs"/>
          <w:rtl/>
        </w:rPr>
        <w:lastRenderedPageBreak/>
        <w:tab/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10683"/>
      </w:tblGrid>
      <w:tr w:rsidR="00A97382" w:rsidRPr="00A97382" w:rsidTr="00A97382">
        <w:trPr>
          <w:trHeight w:val="3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7382" w:rsidRPr="00A97382" w:rsidRDefault="00A97382" w:rsidP="00A97382">
            <w:pPr>
              <w:spacing w:after="0" w:line="25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97382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پیشنهادات جلسه</w:t>
            </w:r>
          </w:p>
        </w:tc>
      </w:tr>
      <w:tr w:rsidR="00072288" w:rsidRPr="00A97382" w:rsidTr="00A97382">
        <w:trPr>
          <w:trHeight w:val="3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2288" w:rsidRPr="00A97382" w:rsidRDefault="00AF1B5C" w:rsidP="00F759AA">
            <w:pPr>
              <w:spacing w:after="0" w:line="25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مقرر گردید جهت بهره مندی واحدهای معدنی استان</w:t>
            </w:r>
            <w:r w:rsidR="007F3E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سهمیه سوخت اختصاص یافته ،</w:t>
            </w:r>
            <w:r w:rsidR="007F3EFD"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 xml:space="preserve"> شرکت پخش فرآورده های نفتی میزان سهمیه را در ابتدای ماه تخصیص دهد.</w:t>
            </w:r>
          </w:p>
        </w:tc>
      </w:tr>
      <w:tr w:rsidR="00072288" w:rsidRPr="00A97382" w:rsidTr="00A97382">
        <w:trPr>
          <w:trHeight w:val="3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2288" w:rsidRPr="00A97382" w:rsidRDefault="007F3EFD" w:rsidP="00072288">
            <w:pPr>
              <w:spacing w:after="0" w:line="25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مقرر کردید با توجه به اینکه در سایر استان ها شرکت توزیع برق میزان مصرف برق تولیدی از طریق ژنراتورها را محاسبه و جهت تأمین سوخت مورد نیاز موضوع را در سامانه صدف تأیید می کند پیشنهاد تأیید سهمیه سوخت ژنراتورهای مورد استفاده در معادن توسط شرکت توزیع برق استان هم انجام شود.</w:t>
            </w:r>
          </w:p>
        </w:tc>
      </w:tr>
      <w:tr w:rsidR="00072288" w:rsidRPr="00A97382" w:rsidTr="00A97382">
        <w:trPr>
          <w:trHeight w:val="3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2288" w:rsidRPr="00A97382" w:rsidRDefault="007F3EFD" w:rsidP="00072288">
            <w:pPr>
              <w:spacing w:after="0" w:line="25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مقرر گردید </w:t>
            </w:r>
            <w:r>
              <w:rPr>
                <w:rFonts w:ascii="IRANSansWeb" w:eastAsiaTheme="minorHAnsi" w:hAnsi="IRANSansWeb" w:cs="B Nazanin" w:hint="cs"/>
                <w:b/>
                <w:bCs/>
                <w:color w:val="424753"/>
                <w:sz w:val="24"/>
                <w:szCs w:val="24"/>
                <w:rtl/>
              </w:rPr>
              <w:t>شرکت پخش فرآورده های نفتی سهمیه تخصیصی معادن را که از طرف سازمان صمت اعلام می شود به شرط نداشتن ذخیره غیر متعارف کم نکند.</w:t>
            </w:r>
          </w:p>
        </w:tc>
      </w:tr>
      <w:tr w:rsidR="00072288" w:rsidRPr="00A97382" w:rsidTr="00A97382">
        <w:trPr>
          <w:trHeight w:val="3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2288" w:rsidRPr="00A97382" w:rsidRDefault="004F7360" w:rsidP="004F7360">
            <w:pPr>
              <w:spacing w:after="0" w:line="25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مقرر گردید تأیید سهمیه سوخت ژنراتورهای واحدهای معدنی که مشترک شرکت توزیع برق نیستند و برای خرید برق از شبکه  مسائل و مشکلاتی دارند توسط شرکت توزیع برق انجام شود.</w:t>
            </w:r>
          </w:p>
        </w:tc>
      </w:tr>
    </w:tbl>
    <w:p w:rsidR="00A97382" w:rsidRPr="00AD2C5F" w:rsidRDefault="00A97382" w:rsidP="00AD2C5F"/>
    <w:sectPr w:rsidR="00A97382" w:rsidRPr="00AD2C5F" w:rsidSect="00A01B31">
      <w:headerReference w:type="default" r:id="rId9"/>
      <w:footerReference w:type="default" r:id="rId10"/>
      <w:pgSz w:w="11907" w:h="16839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F5" w:rsidRDefault="006931F5" w:rsidP="00F523F2">
      <w:pPr>
        <w:spacing w:after="0" w:line="240" w:lineRule="auto"/>
      </w:pPr>
      <w:r>
        <w:separator/>
      </w:r>
    </w:p>
  </w:endnote>
  <w:endnote w:type="continuationSeparator" w:id="0">
    <w:p w:rsidR="006931F5" w:rsidRDefault="006931F5" w:rsidP="00F5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Sans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2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48"/>
      <w:gridCol w:w="5349"/>
    </w:tblGrid>
    <w:tr w:rsidR="00F523F2" w:rsidRPr="00972FFA" w:rsidTr="00A01B31">
      <w:trPr>
        <w:jc w:val="center"/>
      </w:trPr>
      <w:tc>
        <w:tcPr>
          <w:tcW w:w="5000" w:type="pct"/>
          <w:gridSpan w:val="2"/>
        </w:tcPr>
        <w:p w:rsidR="00F523F2" w:rsidRPr="00972FFA" w:rsidRDefault="00F523F2" w:rsidP="00121A60">
          <w:pPr>
            <w:pStyle w:val="Footer"/>
            <w:tabs>
              <w:tab w:val="left" w:pos="1902"/>
            </w:tabs>
            <w:bidi/>
            <w:rPr>
              <w:rFonts w:cs="B Nazanin"/>
            </w:rPr>
          </w:pPr>
          <w:r w:rsidRPr="00972FFA">
            <w:rPr>
              <w:rFonts w:cs="B Nazanin" w:hint="cs"/>
              <w:rtl/>
            </w:rPr>
            <w:t>کد مدرک:</w:t>
          </w:r>
          <w:r w:rsidR="00CA44D6">
            <w:rPr>
              <w:rFonts w:cs="B Nazanin" w:hint="cs"/>
              <w:rtl/>
            </w:rPr>
            <w:t xml:space="preserve"> </w:t>
          </w:r>
          <w:r w:rsidR="006757B5">
            <w:rPr>
              <w:rFonts w:asciiTheme="majorBidi" w:hAnsiTheme="majorBidi" w:cstheme="majorBidi"/>
            </w:rPr>
            <w:t xml:space="preserve"> QMS-</w:t>
          </w:r>
          <w:r w:rsidR="00AD2C5F">
            <w:rPr>
              <w:rFonts w:asciiTheme="majorBidi" w:hAnsiTheme="majorBidi" w:cstheme="majorBidi"/>
            </w:rPr>
            <w:t>FO</w:t>
          </w:r>
          <w:r w:rsidR="006757B5">
            <w:rPr>
              <w:rFonts w:asciiTheme="majorBidi" w:hAnsiTheme="majorBidi" w:cstheme="majorBidi"/>
            </w:rPr>
            <w:t>-</w:t>
          </w:r>
          <w:r w:rsidR="00121A60">
            <w:rPr>
              <w:rFonts w:asciiTheme="majorBidi" w:hAnsiTheme="majorBidi" w:cstheme="majorBidi"/>
            </w:rPr>
            <w:t>56</w:t>
          </w:r>
          <w:r>
            <w:rPr>
              <w:rFonts w:asciiTheme="majorBidi" w:hAnsiTheme="majorBidi" w:cstheme="majorBidi" w:hint="cs"/>
              <w:rtl/>
            </w:rPr>
            <w:t xml:space="preserve"> </w:t>
          </w:r>
          <w:r w:rsidR="006757B5">
            <w:rPr>
              <w:rFonts w:asciiTheme="majorBidi" w:hAnsiTheme="majorBidi" w:cstheme="majorBidi"/>
            </w:rPr>
            <w:t xml:space="preserve">         </w:t>
          </w:r>
          <w:r w:rsidR="007F5FCD">
            <w:rPr>
              <w:rFonts w:asciiTheme="majorBidi" w:hAnsiTheme="majorBidi" w:cstheme="majorBidi" w:hint="cs"/>
              <w:rtl/>
            </w:rPr>
            <w:t xml:space="preserve">  </w:t>
          </w:r>
          <w:r w:rsidR="006757B5">
            <w:rPr>
              <w:rFonts w:asciiTheme="majorBidi" w:hAnsiTheme="majorBidi" w:cstheme="majorBidi"/>
            </w:rPr>
            <w:t xml:space="preserve">             </w:t>
          </w:r>
          <w:r w:rsidR="007F5FCD">
            <w:rPr>
              <w:rFonts w:asciiTheme="majorBidi" w:hAnsiTheme="majorBidi" w:cstheme="majorBidi" w:hint="cs"/>
              <w:rtl/>
            </w:rPr>
            <w:t xml:space="preserve">   </w:t>
          </w:r>
          <w:r w:rsidR="00CD296D">
            <w:rPr>
              <w:rFonts w:asciiTheme="majorBidi" w:hAnsiTheme="majorBidi" w:cstheme="majorBidi" w:hint="cs"/>
              <w:rtl/>
            </w:rPr>
            <w:t xml:space="preserve">     </w:t>
          </w:r>
          <w:r w:rsidR="006757B5">
            <w:rPr>
              <w:rFonts w:asciiTheme="majorBidi" w:hAnsiTheme="majorBidi" w:cstheme="majorBidi"/>
            </w:rPr>
            <w:t xml:space="preserve">     </w:t>
          </w:r>
          <w:r>
            <w:rPr>
              <w:rFonts w:cs="B Nazanin" w:hint="cs"/>
              <w:rtl/>
            </w:rPr>
            <w:t>شماره بازنگری:0</w:t>
          </w:r>
          <w:r w:rsidR="00AD2C5F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 xml:space="preserve">          </w:t>
          </w:r>
          <w:r w:rsidR="006757B5">
            <w:rPr>
              <w:rFonts w:cs="B Nazanin" w:hint="cs"/>
              <w:rtl/>
            </w:rPr>
            <w:t xml:space="preserve"> </w:t>
          </w:r>
          <w:r w:rsidR="007F5FCD">
            <w:rPr>
              <w:rFonts w:cs="B Nazanin" w:hint="cs"/>
              <w:rtl/>
            </w:rPr>
            <w:t xml:space="preserve">         </w:t>
          </w:r>
          <w:r>
            <w:rPr>
              <w:rFonts w:cs="B Nazanin" w:hint="cs"/>
              <w:rtl/>
            </w:rPr>
            <w:t xml:space="preserve">               تاریخ بازنگری: </w:t>
          </w:r>
          <w:r w:rsidR="00C75324">
            <w:rPr>
              <w:rFonts w:cs="B Nazanin" w:hint="cs"/>
              <w:rtl/>
              <w:lang w:bidi="fa-IR"/>
            </w:rPr>
            <w:t>1402</w:t>
          </w:r>
          <w:r w:rsidR="009D00AB">
            <w:rPr>
              <w:rFonts w:cs="B Nazanin" w:hint="cs"/>
              <w:rtl/>
              <w:lang w:bidi="fa-IR"/>
            </w:rPr>
            <w:t>-0</w:t>
          </w:r>
          <w:r w:rsidR="00C75324">
            <w:rPr>
              <w:rFonts w:cs="B Nazanin" w:hint="cs"/>
              <w:rtl/>
              <w:lang w:bidi="fa-IR"/>
            </w:rPr>
            <w:t>9</w:t>
          </w:r>
          <w:r w:rsidR="009D00AB">
            <w:rPr>
              <w:rFonts w:cs="B Nazanin" w:hint="cs"/>
              <w:rtl/>
              <w:lang w:bidi="fa-IR"/>
            </w:rPr>
            <w:t>-</w:t>
          </w:r>
          <w:r w:rsidR="00C75324">
            <w:rPr>
              <w:rFonts w:cs="B Nazanin" w:hint="cs"/>
              <w:rtl/>
              <w:lang w:bidi="fa-IR"/>
            </w:rPr>
            <w:t>07</w:t>
          </w:r>
        </w:p>
      </w:tc>
    </w:tr>
    <w:tr w:rsidR="00A01B31" w:rsidRPr="00972FFA" w:rsidTr="00A01B31">
      <w:trPr>
        <w:jc w:val="center"/>
      </w:trPr>
      <w:tc>
        <w:tcPr>
          <w:tcW w:w="2500" w:type="pct"/>
        </w:tcPr>
        <w:p w:rsidR="00A01B31" w:rsidRPr="00972FFA" w:rsidRDefault="00264474" w:rsidP="00264474">
          <w:pPr>
            <w:pStyle w:val="Footer"/>
            <w:tabs>
              <w:tab w:val="left" w:pos="1902"/>
            </w:tabs>
            <w:bidi/>
            <w:jc w:val="right"/>
            <w:rPr>
              <w:rFonts w:cs="B Nazanin"/>
              <w:rtl/>
            </w:rPr>
          </w:pPr>
          <w:r w:rsidRPr="00264474">
            <w:rPr>
              <w:rFonts w:cs="B Nazanin"/>
            </w:rPr>
            <w:fldChar w:fldCharType="begin"/>
          </w:r>
          <w:r w:rsidRPr="00264474">
            <w:rPr>
              <w:rFonts w:cs="B Nazanin"/>
            </w:rPr>
            <w:instrText xml:space="preserve"> PAGE   \* MERGEFORMAT </w:instrText>
          </w:r>
          <w:r w:rsidRPr="00264474">
            <w:rPr>
              <w:rFonts w:cs="B Nazanin"/>
            </w:rPr>
            <w:fldChar w:fldCharType="separate"/>
          </w:r>
          <w:r w:rsidR="006B0FBB">
            <w:rPr>
              <w:rFonts w:cs="B Nazanin"/>
              <w:noProof/>
              <w:rtl/>
            </w:rPr>
            <w:t>1</w:t>
          </w:r>
          <w:r w:rsidRPr="00264474">
            <w:rPr>
              <w:rFonts w:cs="B Nazanin"/>
              <w:noProof/>
            </w:rPr>
            <w:fldChar w:fldCharType="end"/>
          </w:r>
        </w:p>
      </w:tc>
      <w:tc>
        <w:tcPr>
          <w:tcW w:w="2500" w:type="pct"/>
        </w:tcPr>
        <w:p w:rsidR="00A01B31" w:rsidRPr="00972FFA" w:rsidRDefault="00A01B31" w:rsidP="00A01B31">
          <w:pPr>
            <w:pStyle w:val="Footer"/>
            <w:bidi/>
            <w:rPr>
              <w:rFonts w:cs="B Nazanin"/>
              <w:rtl/>
            </w:rPr>
          </w:pPr>
          <w:r w:rsidRPr="00F4480E">
            <w:rPr>
              <w:rFonts w:cs="B Nazanin" w:hint="cs"/>
              <w:rtl/>
            </w:rPr>
            <w:t xml:space="preserve">توزیع نسخ: </w:t>
          </w:r>
          <w:r>
            <w:rPr>
              <w:rFonts w:cs="B Nazanin" w:hint="cs"/>
              <w:rtl/>
            </w:rPr>
            <w:t xml:space="preserve">دبیرخانه شورای گفتگوی دولت و بخش خصوصی </w:t>
          </w:r>
        </w:p>
      </w:tc>
    </w:tr>
  </w:tbl>
  <w:p w:rsidR="00F523F2" w:rsidRPr="00F523F2" w:rsidRDefault="00F523F2" w:rsidP="00A01B31">
    <w:pPr>
      <w:pStyle w:val="Footer"/>
      <w:bidi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F5" w:rsidRDefault="006931F5" w:rsidP="00F523F2">
      <w:pPr>
        <w:spacing w:after="0" w:line="240" w:lineRule="auto"/>
      </w:pPr>
      <w:r>
        <w:separator/>
      </w:r>
    </w:p>
  </w:footnote>
  <w:footnote w:type="continuationSeparator" w:id="0">
    <w:p w:rsidR="006931F5" w:rsidRDefault="006931F5" w:rsidP="00F5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75"/>
      <w:gridCol w:w="7229"/>
      <w:gridCol w:w="1793"/>
    </w:tblGrid>
    <w:tr w:rsidR="00F523F2" w:rsidRPr="00CD296D" w:rsidTr="00AA4CE2">
      <w:trPr>
        <w:trHeight w:val="198"/>
      </w:trPr>
      <w:tc>
        <w:tcPr>
          <w:tcW w:w="783" w:type="pct"/>
          <w:vMerge w:val="restart"/>
          <w:tcBorders>
            <w:top w:val="nil"/>
            <w:left w:val="nil"/>
            <w:bottom w:val="single" w:sz="12" w:space="0" w:color="auto"/>
            <w:right w:val="nil"/>
          </w:tcBorders>
        </w:tcPr>
        <w:p w:rsidR="00F523F2" w:rsidRPr="00CD296D" w:rsidRDefault="00AB01BF" w:rsidP="00CD296D">
          <w:pPr>
            <w:pStyle w:val="Header"/>
            <w:bidi/>
            <w:rPr>
              <w:rFonts w:cs="B Nazanin"/>
              <w:b/>
              <w:bCs/>
              <w:caps/>
              <w:sz w:val="20"/>
              <w:szCs w:val="20"/>
              <w:rtl/>
              <w:lang w:bidi="fa-IR"/>
            </w:rPr>
          </w:pPr>
          <w:r>
            <w:rPr>
              <w:rFonts w:cs="B Nazanin"/>
              <w:b/>
              <w:bCs/>
              <w:caps/>
              <w:noProof/>
              <w:sz w:val="20"/>
              <w:szCs w:val="20"/>
              <w:rtl/>
              <w:lang w:bidi="fa-IR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27940</wp:posOffset>
                </wp:positionV>
                <wp:extent cx="449580" cy="454025"/>
                <wp:effectExtent l="0" t="0" r="7620" b="317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ex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45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79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F523F2" w:rsidRPr="00AB01BF" w:rsidRDefault="00AB01BF" w:rsidP="00857235">
          <w:pPr>
            <w:pStyle w:val="Header"/>
            <w:jc w:val="center"/>
            <w:rPr>
              <w:rFonts w:cs="B Nazanin"/>
              <w:b/>
              <w:bCs/>
            </w:rPr>
          </w:pPr>
          <w:r w:rsidRPr="00D70F33">
            <w:rPr>
              <w:rFonts w:cs="B Nazanin" w:hint="cs"/>
              <w:b/>
              <w:bCs/>
              <w:rtl/>
            </w:rPr>
            <w:t>اتاق بازرگانی، صنایع، معادن و کشاورزی ایران</w:t>
          </w:r>
        </w:p>
      </w:tc>
      <w:tc>
        <w:tcPr>
          <w:tcW w:w="838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F523F2" w:rsidRPr="00CD296D" w:rsidRDefault="00AA4CE2" w:rsidP="00857235">
          <w:pPr>
            <w:pStyle w:val="Header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 w:rsidRPr="00CD296D">
            <w:rPr>
              <w:rFonts w:cs="B Nazanin" w:hint="cs"/>
              <w:b/>
              <w:bCs/>
              <w:noProof/>
              <w:sz w:val="20"/>
              <w:szCs w:val="20"/>
              <w:rtl/>
              <w:lang w:bidi="fa-I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-102870</wp:posOffset>
                </wp:positionV>
                <wp:extent cx="464185" cy="449580"/>
                <wp:effectExtent l="0" t="0" r="0" b="7620"/>
                <wp:wrapNone/>
                <wp:docPr id="2" name="Picture 2" descr="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523F2" w:rsidRPr="00CD296D" w:rsidTr="00AA4CE2">
      <w:trPr>
        <w:trHeight w:val="69"/>
      </w:trPr>
      <w:tc>
        <w:tcPr>
          <w:tcW w:w="783" w:type="pct"/>
          <w:vMerge/>
          <w:tcBorders>
            <w:left w:val="nil"/>
            <w:bottom w:val="single" w:sz="12" w:space="0" w:color="auto"/>
            <w:right w:val="nil"/>
          </w:tcBorders>
        </w:tcPr>
        <w:p w:rsidR="00F523F2" w:rsidRPr="00CD296D" w:rsidRDefault="00F523F2" w:rsidP="00857235">
          <w:pPr>
            <w:pStyle w:val="Header"/>
            <w:jc w:val="center"/>
            <w:rPr>
              <w:rFonts w:cs="B Nazanin"/>
              <w:b/>
              <w:bCs/>
              <w:caps/>
              <w:sz w:val="20"/>
              <w:szCs w:val="20"/>
            </w:rPr>
          </w:pPr>
        </w:p>
      </w:tc>
      <w:tc>
        <w:tcPr>
          <w:tcW w:w="3379" w:type="pc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:rsidR="00F523F2" w:rsidRPr="00CD296D" w:rsidRDefault="005513F6" w:rsidP="004709D5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5513F6">
            <w:rPr>
              <w:rFonts w:cs="B Nazanin"/>
              <w:b/>
              <w:bCs/>
              <w:sz w:val="20"/>
              <w:szCs w:val="20"/>
              <w:rtl/>
              <w:lang w:bidi="fa-IR"/>
            </w:rPr>
            <w:t>فرم صورتجلسه کارگروه تخصص</w:t>
          </w:r>
          <w:r w:rsidRPr="005513F6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ی</w:t>
          </w:r>
          <w:r w:rsidRPr="005513F6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 کارشناس</w:t>
          </w:r>
          <w:r w:rsidRPr="005513F6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ی</w:t>
          </w:r>
          <w:r w:rsidRPr="005513F6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 دب</w:t>
          </w:r>
          <w:r w:rsidRPr="005513F6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ی</w:t>
          </w:r>
          <w:r w:rsidRPr="005513F6">
            <w:rPr>
              <w:rFonts w:cs="B Nazanin" w:hint="eastAsia"/>
              <w:b/>
              <w:bCs/>
              <w:sz w:val="20"/>
              <w:szCs w:val="20"/>
              <w:rtl/>
              <w:lang w:bidi="fa-IR"/>
            </w:rPr>
            <w:t>رخانه</w:t>
          </w:r>
          <w:r w:rsidRPr="005513F6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 شورا</w:t>
          </w:r>
          <w:r w:rsidRPr="005513F6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ی</w:t>
          </w:r>
          <w:r w:rsidRPr="005513F6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 گفت و گو</w:t>
          </w:r>
          <w:r w:rsidRPr="005513F6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ی</w:t>
          </w:r>
          <w:r w:rsidRPr="005513F6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 استان</w:t>
          </w:r>
          <w:r w:rsidRPr="005513F6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ی</w:t>
          </w:r>
        </w:p>
      </w:tc>
      <w:tc>
        <w:tcPr>
          <w:tcW w:w="838" w:type="pct"/>
          <w:vMerge/>
          <w:tcBorders>
            <w:left w:val="nil"/>
            <w:bottom w:val="single" w:sz="12" w:space="0" w:color="auto"/>
            <w:right w:val="nil"/>
          </w:tcBorders>
        </w:tcPr>
        <w:p w:rsidR="00F523F2" w:rsidRPr="00CD296D" w:rsidRDefault="00F523F2" w:rsidP="00857235">
          <w:pPr>
            <w:pStyle w:val="Header"/>
            <w:jc w:val="center"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F523F2" w:rsidRDefault="00F523F2" w:rsidP="00F523F2">
    <w:pPr>
      <w:pStyle w:val="Header"/>
      <w:tabs>
        <w:tab w:val="clear" w:pos="4680"/>
        <w:tab w:val="clear" w:pos="9360"/>
        <w:tab w:val="left" w:pos="9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EFF"/>
    <w:multiLevelType w:val="hybridMultilevel"/>
    <w:tmpl w:val="CEF41320"/>
    <w:lvl w:ilvl="0" w:tplc="5CFA6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345B"/>
    <w:multiLevelType w:val="hybridMultilevel"/>
    <w:tmpl w:val="3E7ECD10"/>
    <w:lvl w:ilvl="0" w:tplc="A9A832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677636"/>
    <w:multiLevelType w:val="hybridMultilevel"/>
    <w:tmpl w:val="A1782A92"/>
    <w:lvl w:ilvl="0" w:tplc="841C8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E6403"/>
    <w:multiLevelType w:val="hybridMultilevel"/>
    <w:tmpl w:val="CEF41320"/>
    <w:lvl w:ilvl="0" w:tplc="5CFA6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85422"/>
    <w:multiLevelType w:val="hybridMultilevel"/>
    <w:tmpl w:val="569054EC"/>
    <w:lvl w:ilvl="0" w:tplc="73D8B18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3447"/>
    <w:multiLevelType w:val="hybridMultilevel"/>
    <w:tmpl w:val="7F3E0ECC"/>
    <w:lvl w:ilvl="0" w:tplc="AE300C1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6FB8"/>
    <w:multiLevelType w:val="hybridMultilevel"/>
    <w:tmpl w:val="F3943BC6"/>
    <w:lvl w:ilvl="0" w:tplc="57A6D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7424E"/>
    <w:multiLevelType w:val="hybridMultilevel"/>
    <w:tmpl w:val="FEC0D6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9E"/>
    <w:rsid w:val="00012C5C"/>
    <w:rsid w:val="00016EF4"/>
    <w:rsid w:val="00020B90"/>
    <w:rsid w:val="00020C3E"/>
    <w:rsid w:val="000224ED"/>
    <w:rsid w:val="00022A40"/>
    <w:rsid w:val="0002504A"/>
    <w:rsid w:val="000310B6"/>
    <w:rsid w:val="000342F2"/>
    <w:rsid w:val="00046498"/>
    <w:rsid w:val="00066D91"/>
    <w:rsid w:val="000713D8"/>
    <w:rsid w:val="00072288"/>
    <w:rsid w:val="00076B95"/>
    <w:rsid w:val="00082336"/>
    <w:rsid w:val="00082BEA"/>
    <w:rsid w:val="00091A61"/>
    <w:rsid w:val="00093D13"/>
    <w:rsid w:val="000A4361"/>
    <w:rsid w:val="000B555F"/>
    <w:rsid w:val="000C4561"/>
    <w:rsid w:val="000D31B3"/>
    <w:rsid w:val="000D4601"/>
    <w:rsid w:val="000D5563"/>
    <w:rsid w:val="000D6CA6"/>
    <w:rsid w:val="000E14C6"/>
    <w:rsid w:val="000F6C80"/>
    <w:rsid w:val="00103DD9"/>
    <w:rsid w:val="00111830"/>
    <w:rsid w:val="00113763"/>
    <w:rsid w:val="001202B0"/>
    <w:rsid w:val="00121A60"/>
    <w:rsid w:val="00123A62"/>
    <w:rsid w:val="00125C34"/>
    <w:rsid w:val="00140424"/>
    <w:rsid w:val="00142BA8"/>
    <w:rsid w:val="00143B41"/>
    <w:rsid w:val="00144D1D"/>
    <w:rsid w:val="00147FC9"/>
    <w:rsid w:val="00151133"/>
    <w:rsid w:val="00151617"/>
    <w:rsid w:val="00175935"/>
    <w:rsid w:val="00184399"/>
    <w:rsid w:val="0018640B"/>
    <w:rsid w:val="0019027D"/>
    <w:rsid w:val="001946B1"/>
    <w:rsid w:val="001A1523"/>
    <w:rsid w:val="001A7C4C"/>
    <w:rsid w:val="001B49AD"/>
    <w:rsid w:val="001C2497"/>
    <w:rsid w:val="001C759D"/>
    <w:rsid w:val="001D3EFA"/>
    <w:rsid w:val="001F0BDF"/>
    <w:rsid w:val="001F6806"/>
    <w:rsid w:val="00201977"/>
    <w:rsid w:val="00214D7D"/>
    <w:rsid w:val="002369BB"/>
    <w:rsid w:val="00240C50"/>
    <w:rsid w:val="00243742"/>
    <w:rsid w:val="00251252"/>
    <w:rsid w:val="002538CA"/>
    <w:rsid w:val="00257CD1"/>
    <w:rsid w:val="00262ADC"/>
    <w:rsid w:val="00264474"/>
    <w:rsid w:val="002676C7"/>
    <w:rsid w:val="00270137"/>
    <w:rsid w:val="00286AC7"/>
    <w:rsid w:val="0029062C"/>
    <w:rsid w:val="002A0FB0"/>
    <w:rsid w:val="002A4447"/>
    <w:rsid w:val="002B6FDC"/>
    <w:rsid w:val="002D07B2"/>
    <w:rsid w:val="002D2510"/>
    <w:rsid w:val="002E2AAB"/>
    <w:rsid w:val="002E4E04"/>
    <w:rsid w:val="002E50A3"/>
    <w:rsid w:val="00303166"/>
    <w:rsid w:val="00310392"/>
    <w:rsid w:val="00313C56"/>
    <w:rsid w:val="00315BCA"/>
    <w:rsid w:val="00316F65"/>
    <w:rsid w:val="003239DC"/>
    <w:rsid w:val="003271C4"/>
    <w:rsid w:val="00334FC1"/>
    <w:rsid w:val="0033715F"/>
    <w:rsid w:val="003374FC"/>
    <w:rsid w:val="00343AC6"/>
    <w:rsid w:val="003443A4"/>
    <w:rsid w:val="00360C32"/>
    <w:rsid w:val="003669DB"/>
    <w:rsid w:val="00367529"/>
    <w:rsid w:val="00383C59"/>
    <w:rsid w:val="00384287"/>
    <w:rsid w:val="00386CDB"/>
    <w:rsid w:val="003A3663"/>
    <w:rsid w:val="003A3B11"/>
    <w:rsid w:val="003A4959"/>
    <w:rsid w:val="003A4E23"/>
    <w:rsid w:val="003A6030"/>
    <w:rsid w:val="003B6163"/>
    <w:rsid w:val="003C35F8"/>
    <w:rsid w:val="003C5823"/>
    <w:rsid w:val="003C6E6D"/>
    <w:rsid w:val="003D08F6"/>
    <w:rsid w:val="003D6C2D"/>
    <w:rsid w:val="003E2C8B"/>
    <w:rsid w:val="003E4F99"/>
    <w:rsid w:val="003F4220"/>
    <w:rsid w:val="003F7B2E"/>
    <w:rsid w:val="00407B69"/>
    <w:rsid w:val="00412F28"/>
    <w:rsid w:val="00427CA0"/>
    <w:rsid w:val="00442496"/>
    <w:rsid w:val="00443791"/>
    <w:rsid w:val="00445620"/>
    <w:rsid w:val="00454446"/>
    <w:rsid w:val="0046368B"/>
    <w:rsid w:val="004709D5"/>
    <w:rsid w:val="00475897"/>
    <w:rsid w:val="0047751D"/>
    <w:rsid w:val="00481BDF"/>
    <w:rsid w:val="004837F7"/>
    <w:rsid w:val="00483BBD"/>
    <w:rsid w:val="004850C7"/>
    <w:rsid w:val="00494ABF"/>
    <w:rsid w:val="004B0FA2"/>
    <w:rsid w:val="004B2ED5"/>
    <w:rsid w:val="004B3A22"/>
    <w:rsid w:val="004B4C55"/>
    <w:rsid w:val="004C1E74"/>
    <w:rsid w:val="004C3699"/>
    <w:rsid w:val="004D2686"/>
    <w:rsid w:val="004E342E"/>
    <w:rsid w:val="004E3B0F"/>
    <w:rsid w:val="004F0CA0"/>
    <w:rsid w:val="004F6E10"/>
    <w:rsid w:val="004F7360"/>
    <w:rsid w:val="00501F6B"/>
    <w:rsid w:val="00504813"/>
    <w:rsid w:val="00505F39"/>
    <w:rsid w:val="00507B02"/>
    <w:rsid w:val="00510B56"/>
    <w:rsid w:val="00513F82"/>
    <w:rsid w:val="00526FED"/>
    <w:rsid w:val="00537F01"/>
    <w:rsid w:val="0054004E"/>
    <w:rsid w:val="005438D0"/>
    <w:rsid w:val="0054729E"/>
    <w:rsid w:val="005513F6"/>
    <w:rsid w:val="005663B0"/>
    <w:rsid w:val="0057456E"/>
    <w:rsid w:val="00587F0D"/>
    <w:rsid w:val="005A0455"/>
    <w:rsid w:val="005A3A6E"/>
    <w:rsid w:val="005A4627"/>
    <w:rsid w:val="005A5B62"/>
    <w:rsid w:val="005B2402"/>
    <w:rsid w:val="005B3F54"/>
    <w:rsid w:val="005B78E8"/>
    <w:rsid w:val="005F1B98"/>
    <w:rsid w:val="005F5130"/>
    <w:rsid w:val="00616A1F"/>
    <w:rsid w:val="00622A2B"/>
    <w:rsid w:val="00630B5E"/>
    <w:rsid w:val="00634394"/>
    <w:rsid w:val="0065040D"/>
    <w:rsid w:val="0065098E"/>
    <w:rsid w:val="0065418E"/>
    <w:rsid w:val="00655864"/>
    <w:rsid w:val="00656710"/>
    <w:rsid w:val="00664065"/>
    <w:rsid w:val="0066587B"/>
    <w:rsid w:val="00667DFF"/>
    <w:rsid w:val="00674A3D"/>
    <w:rsid w:val="006757B5"/>
    <w:rsid w:val="00676DA6"/>
    <w:rsid w:val="00680402"/>
    <w:rsid w:val="00682961"/>
    <w:rsid w:val="00690D7D"/>
    <w:rsid w:val="0069209D"/>
    <w:rsid w:val="006931F5"/>
    <w:rsid w:val="006A62F6"/>
    <w:rsid w:val="006B0FBB"/>
    <w:rsid w:val="006D4734"/>
    <w:rsid w:val="006D6815"/>
    <w:rsid w:val="006E1394"/>
    <w:rsid w:val="00700416"/>
    <w:rsid w:val="00714CC8"/>
    <w:rsid w:val="00754A06"/>
    <w:rsid w:val="007550FD"/>
    <w:rsid w:val="00761A8C"/>
    <w:rsid w:val="007646A8"/>
    <w:rsid w:val="00767EF2"/>
    <w:rsid w:val="00772A1A"/>
    <w:rsid w:val="007731C0"/>
    <w:rsid w:val="00784B01"/>
    <w:rsid w:val="00785318"/>
    <w:rsid w:val="00785994"/>
    <w:rsid w:val="00787140"/>
    <w:rsid w:val="0079254F"/>
    <w:rsid w:val="007A1E03"/>
    <w:rsid w:val="007A3826"/>
    <w:rsid w:val="007A40D2"/>
    <w:rsid w:val="007A5AB4"/>
    <w:rsid w:val="007B4FB1"/>
    <w:rsid w:val="007C0928"/>
    <w:rsid w:val="007C22D3"/>
    <w:rsid w:val="007D35DE"/>
    <w:rsid w:val="007E0BE6"/>
    <w:rsid w:val="007E1A84"/>
    <w:rsid w:val="007E2289"/>
    <w:rsid w:val="007F3EFD"/>
    <w:rsid w:val="007F5FCD"/>
    <w:rsid w:val="00803535"/>
    <w:rsid w:val="00803D40"/>
    <w:rsid w:val="00813F28"/>
    <w:rsid w:val="008263C8"/>
    <w:rsid w:val="00830BC0"/>
    <w:rsid w:val="008321F8"/>
    <w:rsid w:val="00841F9C"/>
    <w:rsid w:val="0085432D"/>
    <w:rsid w:val="00857CE0"/>
    <w:rsid w:val="00861DD4"/>
    <w:rsid w:val="008744A8"/>
    <w:rsid w:val="00884129"/>
    <w:rsid w:val="00894E1B"/>
    <w:rsid w:val="008A0888"/>
    <w:rsid w:val="008A1999"/>
    <w:rsid w:val="008A2B78"/>
    <w:rsid w:val="008B4E39"/>
    <w:rsid w:val="008B555F"/>
    <w:rsid w:val="008B7F12"/>
    <w:rsid w:val="008C282B"/>
    <w:rsid w:val="008C57F1"/>
    <w:rsid w:val="008E7D81"/>
    <w:rsid w:val="008F5E07"/>
    <w:rsid w:val="0091132A"/>
    <w:rsid w:val="00920F73"/>
    <w:rsid w:val="00921A40"/>
    <w:rsid w:val="00934F4E"/>
    <w:rsid w:val="009378A4"/>
    <w:rsid w:val="00952D84"/>
    <w:rsid w:val="009626FC"/>
    <w:rsid w:val="00973F7D"/>
    <w:rsid w:val="0097795C"/>
    <w:rsid w:val="00983FD7"/>
    <w:rsid w:val="0098469B"/>
    <w:rsid w:val="00987819"/>
    <w:rsid w:val="009927E8"/>
    <w:rsid w:val="00995B06"/>
    <w:rsid w:val="009A6592"/>
    <w:rsid w:val="009B5399"/>
    <w:rsid w:val="009B7E76"/>
    <w:rsid w:val="009C2EEA"/>
    <w:rsid w:val="009D00AB"/>
    <w:rsid w:val="009D7CB0"/>
    <w:rsid w:val="009F249E"/>
    <w:rsid w:val="009F56F6"/>
    <w:rsid w:val="00A014EC"/>
    <w:rsid w:val="00A01B31"/>
    <w:rsid w:val="00A05E95"/>
    <w:rsid w:val="00A20656"/>
    <w:rsid w:val="00A2353A"/>
    <w:rsid w:val="00A27465"/>
    <w:rsid w:val="00A30C6C"/>
    <w:rsid w:val="00A40F6E"/>
    <w:rsid w:val="00A457BF"/>
    <w:rsid w:val="00A46A48"/>
    <w:rsid w:val="00A52E1F"/>
    <w:rsid w:val="00A5788C"/>
    <w:rsid w:val="00A6280F"/>
    <w:rsid w:val="00A67A1A"/>
    <w:rsid w:val="00A70CCE"/>
    <w:rsid w:val="00A72B98"/>
    <w:rsid w:val="00A86027"/>
    <w:rsid w:val="00A947CA"/>
    <w:rsid w:val="00A97382"/>
    <w:rsid w:val="00AA4CE2"/>
    <w:rsid w:val="00AB01BF"/>
    <w:rsid w:val="00AB0CFB"/>
    <w:rsid w:val="00AC456E"/>
    <w:rsid w:val="00AC6E79"/>
    <w:rsid w:val="00AD1A1B"/>
    <w:rsid w:val="00AD2AE0"/>
    <w:rsid w:val="00AD2C5F"/>
    <w:rsid w:val="00AF0D4D"/>
    <w:rsid w:val="00AF1B5C"/>
    <w:rsid w:val="00B01E80"/>
    <w:rsid w:val="00B076AE"/>
    <w:rsid w:val="00B149FD"/>
    <w:rsid w:val="00B15342"/>
    <w:rsid w:val="00B1724D"/>
    <w:rsid w:val="00B225E2"/>
    <w:rsid w:val="00B23418"/>
    <w:rsid w:val="00B2698C"/>
    <w:rsid w:val="00B60C6C"/>
    <w:rsid w:val="00B67DDD"/>
    <w:rsid w:val="00B73508"/>
    <w:rsid w:val="00B7675C"/>
    <w:rsid w:val="00B8420B"/>
    <w:rsid w:val="00B879CB"/>
    <w:rsid w:val="00B9458B"/>
    <w:rsid w:val="00BA1295"/>
    <w:rsid w:val="00BB1F5B"/>
    <w:rsid w:val="00BB2DC5"/>
    <w:rsid w:val="00BC234C"/>
    <w:rsid w:val="00BC362F"/>
    <w:rsid w:val="00BC5C8F"/>
    <w:rsid w:val="00BD3107"/>
    <w:rsid w:val="00BE453C"/>
    <w:rsid w:val="00C162D6"/>
    <w:rsid w:val="00C25F9C"/>
    <w:rsid w:val="00C425DA"/>
    <w:rsid w:val="00C51607"/>
    <w:rsid w:val="00C54DA8"/>
    <w:rsid w:val="00C6038F"/>
    <w:rsid w:val="00C61526"/>
    <w:rsid w:val="00C6680E"/>
    <w:rsid w:val="00C75324"/>
    <w:rsid w:val="00C75E79"/>
    <w:rsid w:val="00C8058E"/>
    <w:rsid w:val="00C828A8"/>
    <w:rsid w:val="00C86A6E"/>
    <w:rsid w:val="00C87B18"/>
    <w:rsid w:val="00C93EF2"/>
    <w:rsid w:val="00C9743F"/>
    <w:rsid w:val="00CA1670"/>
    <w:rsid w:val="00CA3476"/>
    <w:rsid w:val="00CA44D6"/>
    <w:rsid w:val="00CB5A3B"/>
    <w:rsid w:val="00CB5CB4"/>
    <w:rsid w:val="00CC450D"/>
    <w:rsid w:val="00CD296D"/>
    <w:rsid w:val="00CE3E34"/>
    <w:rsid w:val="00CE4732"/>
    <w:rsid w:val="00CF1994"/>
    <w:rsid w:val="00D02414"/>
    <w:rsid w:val="00D06CA4"/>
    <w:rsid w:val="00D17A36"/>
    <w:rsid w:val="00D25AFF"/>
    <w:rsid w:val="00D2714E"/>
    <w:rsid w:val="00D3330B"/>
    <w:rsid w:val="00D34A5D"/>
    <w:rsid w:val="00D45C2F"/>
    <w:rsid w:val="00D47F1A"/>
    <w:rsid w:val="00D528A1"/>
    <w:rsid w:val="00D54604"/>
    <w:rsid w:val="00D60F47"/>
    <w:rsid w:val="00D61DDB"/>
    <w:rsid w:val="00D630F9"/>
    <w:rsid w:val="00D738CF"/>
    <w:rsid w:val="00D74F9B"/>
    <w:rsid w:val="00D80FEF"/>
    <w:rsid w:val="00DA2355"/>
    <w:rsid w:val="00DA5A4C"/>
    <w:rsid w:val="00DC7E09"/>
    <w:rsid w:val="00DD0886"/>
    <w:rsid w:val="00DE381A"/>
    <w:rsid w:val="00DE3AFC"/>
    <w:rsid w:val="00DE6239"/>
    <w:rsid w:val="00DF71EC"/>
    <w:rsid w:val="00E02FEF"/>
    <w:rsid w:val="00E04E39"/>
    <w:rsid w:val="00E06A17"/>
    <w:rsid w:val="00E10467"/>
    <w:rsid w:val="00E12765"/>
    <w:rsid w:val="00E21DE4"/>
    <w:rsid w:val="00E24A01"/>
    <w:rsid w:val="00E329FA"/>
    <w:rsid w:val="00E359B9"/>
    <w:rsid w:val="00E51948"/>
    <w:rsid w:val="00E52E6E"/>
    <w:rsid w:val="00E542AB"/>
    <w:rsid w:val="00E641F6"/>
    <w:rsid w:val="00E65DAC"/>
    <w:rsid w:val="00E746A3"/>
    <w:rsid w:val="00E76E9A"/>
    <w:rsid w:val="00E81D4F"/>
    <w:rsid w:val="00E90CEC"/>
    <w:rsid w:val="00E9476A"/>
    <w:rsid w:val="00EA1AAF"/>
    <w:rsid w:val="00EB5F1C"/>
    <w:rsid w:val="00EB697B"/>
    <w:rsid w:val="00EC0C29"/>
    <w:rsid w:val="00EC5B90"/>
    <w:rsid w:val="00ED3F73"/>
    <w:rsid w:val="00EE76DB"/>
    <w:rsid w:val="00EF0997"/>
    <w:rsid w:val="00F0017E"/>
    <w:rsid w:val="00F1192D"/>
    <w:rsid w:val="00F17F8F"/>
    <w:rsid w:val="00F2511A"/>
    <w:rsid w:val="00F313C1"/>
    <w:rsid w:val="00F330EA"/>
    <w:rsid w:val="00F33287"/>
    <w:rsid w:val="00F3434D"/>
    <w:rsid w:val="00F415EE"/>
    <w:rsid w:val="00F41AE5"/>
    <w:rsid w:val="00F45C28"/>
    <w:rsid w:val="00F46109"/>
    <w:rsid w:val="00F50886"/>
    <w:rsid w:val="00F523F2"/>
    <w:rsid w:val="00F54249"/>
    <w:rsid w:val="00F56406"/>
    <w:rsid w:val="00F66504"/>
    <w:rsid w:val="00F7489D"/>
    <w:rsid w:val="00F759AA"/>
    <w:rsid w:val="00F77B9B"/>
    <w:rsid w:val="00F82279"/>
    <w:rsid w:val="00F82D56"/>
    <w:rsid w:val="00F951C9"/>
    <w:rsid w:val="00FA1AD8"/>
    <w:rsid w:val="00FA2719"/>
    <w:rsid w:val="00FA4F03"/>
    <w:rsid w:val="00FD1604"/>
    <w:rsid w:val="00FE4E2A"/>
    <w:rsid w:val="00FF59A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34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23F2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523F2"/>
  </w:style>
  <w:style w:type="paragraph" w:styleId="Footer">
    <w:name w:val="footer"/>
    <w:basedOn w:val="Normal"/>
    <w:link w:val="FooterChar"/>
    <w:uiPriority w:val="99"/>
    <w:unhideWhenUsed/>
    <w:rsid w:val="00F523F2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523F2"/>
  </w:style>
  <w:style w:type="table" w:styleId="TableGrid">
    <w:name w:val="Table Grid"/>
    <w:basedOn w:val="TableNormal"/>
    <w:uiPriority w:val="39"/>
    <w:rsid w:val="00125C3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C5F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lang w:val="en-CA" w:eastAsia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E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CB5CB4"/>
    <w:pPr>
      <w:bidi/>
      <w:spacing w:after="0" w:line="240" w:lineRule="auto"/>
    </w:pPr>
    <w:rPr>
      <w:rFonts w:ascii="Calibri" w:eastAsia="Times New Roman" w:hAnsi="Calibri" w:cs="Arial"/>
      <w:lang w:bidi="fa-IR"/>
    </w:rPr>
  </w:style>
  <w:style w:type="paragraph" w:styleId="NormalWeb">
    <w:name w:val="Normal (Web)"/>
    <w:basedOn w:val="Normal"/>
    <w:uiPriority w:val="99"/>
    <w:semiHidden/>
    <w:unhideWhenUsed/>
    <w:rsid w:val="004F0C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A9738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34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23F2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523F2"/>
  </w:style>
  <w:style w:type="paragraph" w:styleId="Footer">
    <w:name w:val="footer"/>
    <w:basedOn w:val="Normal"/>
    <w:link w:val="FooterChar"/>
    <w:uiPriority w:val="99"/>
    <w:unhideWhenUsed/>
    <w:rsid w:val="00F523F2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523F2"/>
  </w:style>
  <w:style w:type="table" w:styleId="TableGrid">
    <w:name w:val="Table Grid"/>
    <w:basedOn w:val="TableNormal"/>
    <w:uiPriority w:val="39"/>
    <w:rsid w:val="00125C3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C5F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lang w:val="en-CA" w:eastAsia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E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CB5CB4"/>
    <w:pPr>
      <w:bidi/>
      <w:spacing w:after="0" w:line="240" w:lineRule="auto"/>
    </w:pPr>
    <w:rPr>
      <w:rFonts w:ascii="Calibri" w:eastAsia="Times New Roman" w:hAnsi="Calibri" w:cs="Arial"/>
      <w:lang w:bidi="fa-IR"/>
    </w:rPr>
  </w:style>
  <w:style w:type="paragraph" w:styleId="NormalWeb">
    <w:name w:val="Normal (Web)"/>
    <w:basedOn w:val="Normal"/>
    <w:uiPriority w:val="99"/>
    <w:semiHidden/>
    <w:unhideWhenUsed/>
    <w:rsid w:val="004F0C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A9738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716D-5DB1-48CA-B362-04440E5E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IpcGroup-1</dc:creator>
  <cp:lastModifiedBy>R!!!</cp:lastModifiedBy>
  <cp:revision>9</cp:revision>
  <cp:lastPrinted>2025-07-28T08:04:00Z</cp:lastPrinted>
  <dcterms:created xsi:type="dcterms:W3CDTF">2025-07-27T06:08:00Z</dcterms:created>
  <dcterms:modified xsi:type="dcterms:W3CDTF">2025-07-28T08:31:00Z</dcterms:modified>
</cp:coreProperties>
</file>